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You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can program the barcode reader by setting codes or by commands, kindly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refer to our video guide as below.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instrText xml:space="preserve"> HYPERLINK "https://youtu.be/hNQYgxM50wA" </w:instrTex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https://youtu.be/hNQYgxM50wA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----Setting code programming guide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instrText xml:space="preserve"> HYPERLINK "https://youtu.be/aCcBzNHe4ho" </w:instrTex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https://youtu.be/aCcBzNHe4ho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-------Command programming guide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eagull: GHS v1.0" w:hAnsi="Seagull: GHS v1.0" w:cs="Seagull: GHS v1.0"/>
        </w:rPr>
      </w:pPr>
      <w:r>
        <w:rPr>
          <w:rFonts w:hint="default" w:ascii="Seagull: GHS v1.0" w:hAnsi="Seagull: GHS v1.0" w:eastAsia="Cambria" w:cs="Seagull: GHS v1.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rPr>
          <w:rFonts w:hint="default" w:ascii="Seagull: GHS v1.0" w:hAnsi="Seagull: GHS v1.0" w:cs="Seagull: GHS v1.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Seagull: GHS v1.0">
    <w:panose1 w:val="000004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Jessie</dc:creator>
  <cp:lastModifiedBy>Justin馬</cp:lastModifiedBy>
  <dcterms:modified xsi:type="dcterms:W3CDTF">2021-03-08T06:22:34Z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